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Ingredion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Portfolios L.P.</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613,544.00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3,972,425.00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6.31 %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3,371,328.00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3,972,425.00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3,972,425.00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Charger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3,371,328.00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3,972,425.00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3,972,425.00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Ingredion Incorporated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Attn: Legal Department, c/o Ingredion Incorporated, 5 Westbrook Corporate Center, Westchester, IL 60154,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Trust Portfolios L.P. First Trust Advisors L.P. The Charger Corporation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120 East Liberty Drive, Suite 400, Wheaton, Illinois 60187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Illinois,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3,972,425</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6.31  %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3,371,328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3,972,425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filing is jointly filed by The Charger Corporation, First Trust Portfolios L.P. and First Trust Advisors L.P. pursuant to Rule 13d-1(k)(1). The Charger Corporation is the General Partner of both First Trust Portfolios L.P. and First Trust Advisors L.P. First Trust Portfolios L.P. acts as sponsor of certain unit investment trusts which hold shares of the issuer. 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 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First Trust Portfolios L.P.</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First Trust Advisors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The Charger Corporation</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M. Dykas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M. Dykas, Chief Financial Officer and Treasurer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center"/>
              <w:rPr>
                <w:b/>
              </w:rPr>
            </w:pPr>
            <w:r>
              <w:rPr>
                <w:b/>
              </w:rPr>
              <w:t xml:space="preserve">Exhibit Information </w:t>
            </w:r>
          </w:p>
        </w:tc>
      </w:tr>
      <w:tr>
        <w:trPr/>
        <w:tc>
          <w:tcPr>
            <w:tcW w:w="4921" w:type="dxa"/>
            <w:tcBorders/>
            <w:vAlign w:val="center"/>
          </w:tcPr>
          <w:p>
            <w:pPr>
              <w:pStyle w:val="TableContents"/>
              <w:bidi w:val="0"/>
              <w:spacing w:before="0" w:after="283"/>
              <w:jc w:val="left"/>
              <w:rPr/>
            </w:pPr>
            <w:r>
              <w:rPr/>
              <w:t>Please see Exhibit 99.1 for Joint Filing Agreement</w:t>
            </w:r>
          </w:p>
        </w:tc>
      </w:tr>
    </w:tbl>
    <w:p>
      <w:pPr>
        <w:pStyle w:val="TextBody"/>
        <w:bidi w:val="0"/>
        <w:jc w:val="right"/>
        <w:rPr/>
      </w:pPr>
      <w:bookmarkStart w:id="24" w:name="ex99_1.htm"/>
      <w:bookmarkStart w:id="25" w:name="ksex99_1"/>
      <w:bookmarkEnd w:id="24"/>
      <w:bookmarkEnd w:id="25"/>
      <w:r>
        <w:rPr/>
        <w:t>Exhibit 99.1</w:t>
      </w:r>
      <w:r>
        <w:br w:type="page"/>
      </w:r>
    </w:p>
    <w:p>
      <w:pPr>
        <w:pStyle w:val="TextBody"/>
        <w:bidi w:val="0"/>
        <w:jc w:val="center"/>
        <w:rPr>
          <w:b/>
          <w:sz w:val="24"/>
        </w:rPr>
      </w:pPr>
      <w:r>
        <w:rPr>
          <w:b/>
          <w:sz w:val="24"/>
        </w:rPr>
        <w:t>Exhibit 99.1 - Joint Filing Agreement</w:t>
      </w:r>
    </w:p>
    <w:p>
      <w:pPr>
        <w:pStyle w:val="TextBody"/>
        <w:bidi w:val="0"/>
        <w:jc w:val="both"/>
        <w:rPr>
          <w:sz w:val="24"/>
        </w:rPr>
      </w:pPr>
      <w:r>
        <w:rPr>
          <w:sz w:val="24"/>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jc w:val="both"/>
        <w:rPr>
          <w:sz w:val="24"/>
        </w:rPr>
      </w:pPr>
      <w:r>
        <w:rPr>
          <w:sz w:val="24"/>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pStyle w:val="TextBody"/>
        <w:bidi w:val="0"/>
        <w:jc w:val="left"/>
        <w:rPr>
          <w:sz w:val="24"/>
        </w:rPr>
      </w:pPr>
      <w:r>
        <w:rPr>
          <w:sz w:val="24"/>
        </w:rPr>
        <w:t>Date: April 30, 2026</w:t>
      </w:r>
    </w:p>
    <w:tbl>
      <w:tblPr>
        <w:tblW w:w="10205" w:type="dxa"/>
        <w:jc w:val="left"/>
        <w:tblInd w:w="0" w:type="dxa"/>
        <w:tblLayout w:type="fixed"/>
        <w:tblCellMar>
          <w:top w:w="0" w:type="dxa"/>
          <w:left w:w="0" w:type="dxa"/>
          <w:bottom w:w="0" w:type="dxa"/>
          <w:right w:w="0" w:type="dxa"/>
        </w:tblCellMar>
      </w:tblPr>
      <w:tblGrid>
        <w:gridCol w:w="75"/>
        <w:gridCol w:w="626"/>
        <w:gridCol w:w="60"/>
        <w:gridCol w:w="9368"/>
        <w:gridCol w:w="76"/>
      </w:tblGrid>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3"/>
            <w:tcBorders/>
            <w:vAlign w:val="center"/>
          </w:tcPr>
          <w:p>
            <w:pPr>
              <w:pStyle w:val="TableContents"/>
              <w:bidi w:val="0"/>
              <w:spacing w:before="0" w:after="283"/>
              <w:jc w:val="left"/>
              <w:rPr/>
            </w:pPr>
            <w:r>
              <w:rPr/>
              <w:t>First Trust Portfolios L.P.,</w:t>
              <w:br/>
              <w:t>First Trust Advisors L.P. and</w:t>
              <w:br/>
              <w:t>The Charger Corporation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9368" w:type="dxa"/>
            <w:tcBorders>
              <w:bottom w:val="single" w:sz="8" w:space="0" w:color="000000"/>
            </w:tcBorders>
            <w:tcMar>
              <w:bottom w:w="28" w:type="dxa"/>
            </w:tcMar>
            <w:vAlign w:val="center"/>
          </w:tcPr>
          <w:p>
            <w:pPr>
              <w:pStyle w:val="TableContents"/>
              <w:bidi w:val="0"/>
              <w:spacing w:before="0" w:after="283"/>
              <w:jc w:val="left"/>
              <w:rPr/>
            </w:pPr>
            <w:r>
              <w:rPr/>
              <w:t>/s/ 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Chief Financial Officer of First Trust Portfolios L.P. and First Trust Advisors L.P., and Chief Financial Officer and Treasurer of The Charger Corporation</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1794</Words>
  <Characters>9303</Characters>
  <CharactersWithSpaces>11054</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