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8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333" w:before="1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333" w:before="120" w:after="4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of the Securities Exchange Act of 1934 </w:t>
      </w:r>
    </w:p>
    <w:p>
      <w:pPr>
        <w:pStyle w:val="TextBody"/>
        <w:bidi w:val="0"/>
        <w:spacing w:lineRule="auto" w:line="240" w:before="24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July 28, 2026</w:t>
      </w:r>
    </w:p>
    <w:p>
      <w:pPr>
        <w:pStyle w:val="TextBody"/>
        <w:bidi w:val="0"/>
        <w:spacing w:before="120" w:after="283"/>
        <w:jc w:val="center"/>
        <w:rPr/>
      </w:pPr>
      <w:r>
        <w:rPr/>
        <w:drawing>
          <wp:inline distT="0" distB="0" distL="0" distR="0">
            <wp:extent cx="1828800" cy="1333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1333500"/>
                    </a:xfrm>
                    <a:prstGeom prst="rect">
                      <a:avLst/>
                    </a:prstGeom>
                  </pic:spPr>
                </pic:pic>
              </a:graphicData>
            </a:graphic>
          </wp:inline>
        </w:drawing>
      </w:r>
      <w:bookmarkStart w:id="0" w:name="i-1"/>
      <w:bookmarkEnd w:id="0"/>
    </w:p>
    <w:p>
      <w:pPr>
        <w:pStyle w:val="TextBody"/>
        <w:bidi w:val="0"/>
        <w:spacing w:lineRule="auto" w:line="333" w:before="120" w:after="283"/>
        <w:jc w:val="center"/>
        <w:rPr>
          <w:rFonts w:ascii="Times New Roman;serif" w:hAnsi="Times New Roman;serif"/>
          <w:b/>
          <w:color w:val="000000"/>
          <w:sz w:val="36"/>
        </w:rPr>
      </w:pPr>
      <w:r>
        <w:rPr>
          <w:rFonts w:ascii="Times New Roman;serif" w:hAnsi="Times New Roman;serif"/>
          <w:b/>
          <w:color w:val="000000"/>
          <w:sz w:val="36"/>
        </w:rPr>
        <w:t>INGREDION INCORPORATED</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309" w:type="dxa"/>
        <w:jc w:val="center"/>
        <w:tblInd w:w="0" w:type="dxa"/>
        <w:tblLayout w:type="fixed"/>
        <w:tblCellMar>
          <w:top w:w="28" w:type="dxa"/>
          <w:left w:w="28" w:type="dxa"/>
          <w:bottom w:w="28" w:type="dxa"/>
          <w:right w:w="28" w:type="dxa"/>
        </w:tblCellMar>
      </w:tblPr>
      <w:tblGrid>
        <w:gridCol w:w="964"/>
        <w:gridCol w:w="845"/>
        <w:gridCol w:w="858"/>
        <w:gridCol w:w="150"/>
        <w:gridCol w:w="150"/>
        <w:gridCol w:w="150"/>
        <w:gridCol w:w="473"/>
        <w:gridCol w:w="473"/>
        <w:gridCol w:w="480"/>
        <w:gridCol w:w="109"/>
        <w:gridCol w:w="109"/>
        <w:gridCol w:w="109"/>
        <w:gridCol w:w="420"/>
        <w:gridCol w:w="420"/>
        <w:gridCol w:w="599"/>
      </w:tblGrid>
      <w:tr>
        <w:trPr/>
        <w:tc>
          <w:tcPr>
            <w:tcW w:w="964"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1-13397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22-3514823</w:t>
            </w:r>
          </w:p>
        </w:tc>
      </w:tr>
      <w:tr>
        <w:trPr/>
        <w:tc>
          <w:tcPr>
            <w:tcW w:w="266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w:t>
            </w:r>
          </w:p>
          <w:p>
            <w:pPr>
              <w:pStyle w:val="TableContents"/>
              <w:bidi w:val="0"/>
              <w:spacing w:lineRule="auto" w:line="240" w:before="0" w:after="20"/>
              <w:jc w:val="center"/>
              <w:rPr>
                <w:rFonts w:ascii="Times New Roman;serif" w:hAnsi="Times New Roman;serif"/>
                <w:b w:val="false"/>
                <w:color w:val="000000"/>
                <w:sz w:val="16"/>
              </w:rPr>
            </w:pPr>
            <w:r>
              <w:rPr>
                <w:rFonts w:ascii="Times New Roman;serif" w:hAnsi="Times New Roman;serif"/>
                <w:b w:val="false"/>
                <w:color w:val="000000"/>
                <w:sz w:val="16"/>
              </w:rPr>
              <w:t>of incorporation)</w:t>
            </w:r>
          </w:p>
        </w:tc>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(Commission</w:t>
            </w:r>
          </w:p>
          <w:p>
            <w:pPr>
              <w:pStyle w:val="TableContents"/>
              <w:bidi w:val="0"/>
              <w:spacing w:lineRule="auto" w:line="240" w:before="0" w:after="20"/>
              <w:jc w:val="center"/>
              <w:rPr>
                <w:rFonts w:ascii="Times New Roman;serif" w:hAnsi="Times New Roman;serif"/>
                <w:b w:val="false"/>
                <w:color w:val="000000"/>
                <w:sz w:val="16"/>
              </w:rPr>
            </w:pPr>
            <w:r>
              <w:rPr>
                <w:rFonts w:ascii="Times New Roman;serif" w:hAnsi="Times New Roman;serif"/>
                <w:b w:val="false"/>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(I.R.S. Employer</w:t>
            </w:r>
          </w:p>
          <w:p>
            <w:pPr>
              <w:pStyle w:val="TableContents"/>
              <w:bidi w:val="0"/>
              <w:spacing w:lineRule="auto" w:line="240" w:before="0" w:after="20"/>
              <w:jc w:val="center"/>
              <w:rPr>
                <w:rFonts w:ascii="Times New Roman;serif" w:hAnsi="Times New Roman;serif"/>
                <w:b w:val="false"/>
                <w:color w:val="000000"/>
                <w:sz w:val="16"/>
              </w:rPr>
            </w:pPr>
            <w:r>
              <w:rPr>
                <w:rFonts w:ascii="Times New Roman;serif" w:hAnsi="Times New Roman;serif"/>
                <w:b w:val="false"/>
                <w:color w:val="000000"/>
                <w:sz w:val="16"/>
              </w:rPr>
              <w:t>Identification No.)</w:t>
            </w:r>
          </w:p>
        </w:tc>
      </w:tr>
      <w:tr>
        <w:trPr/>
        <w:tc>
          <w:tcPr>
            <w:tcW w:w="454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5 Westbrook Corporate Center, Westchester, Illinois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60154</w:t>
            </w:r>
          </w:p>
        </w:tc>
      </w:tr>
      <w:tr>
        <w:trPr/>
        <w:tc>
          <w:tcPr>
            <w:tcW w:w="45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(708) 551-2600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 </w:t>
      </w:r>
    </w:p>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p>
      <w:pPr>
        <w:pStyle w:val="TextBody"/>
        <w:bidi w:val="0"/>
        <w:spacing w:lineRule="auto" w:line="333" w:before="240" w:after="14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p>
      <w:pPr>
        <w:pStyle w:val="TextBody"/>
        <w:bidi w:val="0"/>
        <w:spacing w:lineRule="auto" w:line="240" w:before="0" w:after="0"/>
        <w:jc w:val="left"/>
        <w:rPr>
          <w:color w:val="000000"/>
        </w:rPr>
      </w:pPr>
      <w:r>
        <w:rPr>
          <w:color w:val="000000"/>
        </w:rPr>
        <w:t> </w:t>
      </w:r>
    </w:p>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p>
      <w:pPr>
        <w:pStyle w:val="TextBody"/>
        <w:bidi w:val="0"/>
        <w:spacing w:lineRule="auto" w:line="240" w:before="0" w:after="0"/>
        <w:jc w:val="left"/>
        <w:rPr>
          <w:color w:val="000000"/>
        </w:rPr>
      </w:pPr>
      <w:r>
        <w:rPr>
          <w:color w:val="000000"/>
        </w:rPr>
        <w:t>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p>
      <w:pPr>
        <w:pStyle w:val="TextBody"/>
        <w:bidi w:val="0"/>
        <w:spacing w:lineRule="auto" w:line="240" w:before="0" w:after="0"/>
        <w:jc w:val="left"/>
        <w:rPr>
          <w:color w:val="000000"/>
        </w:rPr>
      </w:pPr>
      <w:r>
        <w:rPr>
          <w:color w:val="000000"/>
        </w:rPr>
        <w:t> </w:t>
      </w:r>
    </w:p>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40" w:before="240" w:after="14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13" w:type="dxa"/>
        <w:jc w:val="left"/>
        <w:tblInd w:w="0" w:type="dxa"/>
        <w:tblLayout w:type="fixed"/>
        <w:tblCellMar>
          <w:top w:w="28" w:type="dxa"/>
          <w:left w:w="28" w:type="dxa"/>
          <w:bottom w:w="28" w:type="dxa"/>
          <w:right w:w="28" w:type="dxa"/>
        </w:tblCellMar>
      </w:tblPr>
      <w:tblGrid>
        <w:gridCol w:w="1263"/>
        <w:gridCol w:w="1109"/>
        <w:gridCol w:w="1122"/>
        <w:gridCol w:w="564"/>
        <w:gridCol w:w="564"/>
        <w:gridCol w:w="56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INGR</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center"/>
        <w:rPr/>
      </w:pPr>
      <w:r>
        <w:rPr/>
      </w:r>
    </w:p>
    <w:p>
      <w:pPr>
        <w:pStyle w:val="TextBody"/>
        <w:bidi w:val="0"/>
        <w:spacing w:before="12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or Rule 12b-2 of the Securities Exchange Act of 1934. </w:t>
      </w:r>
    </w:p>
    <w:p>
      <w:pPr>
        <w:pStyle w:val="TextBody"/>
        <w:bidi w:val="0"/>
        <w:spacing w:lineRule="auto" w:line="240" w:before="240" w:after="283"/>
        <w:jc w:val="right"/>
        <w:rPr/>
      </w:pPr>
      <w:r>
        <w:rPr>
          <w:rFonts w:ascii="Times New Roman;serif" w:hAnsi="Times New Roman;serif"/>
          <w:b w:val="false"/>
          <w:color w:val="000000"/>
          <w:sz w:val="20"/>
        </w:rPr>
        <w:t>Emerging growth company  </w:t>
      </w:r>
      <w:r>
        <w:rPr>
          <w:color w:val="000000"/>
        </w:rPr>
        <w:t xml:space="preserve">☐ </w:t>
      </w:r>
    </w:p>
    <w:p>
      <w:pPr>
        <w:pStyle w:val="TextBody"/>
        <w:bidi w:val="0"/>
        <w:spacing w:lineRule="auto" w:line="240" w:before="24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July 28, 2026, shareholders of Tate &amp; Lyle PLC, a company incorporated in England and Wales (“Tate &amp; Lyle”), approved a recommended all-cash acquisition by Ingredion Incorporated (the “Company”) of the entire issued and to be issued share capital of Tate &amp; Lyle, as announced on June 8, 2026 (the “Acquisition”) and described in the Company’s current report on Form 8-K filed on June 9, 2026. The Acquisition is intended to be implemented by a court-sanctioned scheme of arrangement (the “Scheme”) under Part 26 of the UK Companies Act 2026. On July 28, 2026, in satisfaction of a condition to completion of the Acquisition, Tate &amp; Lyle shareholders voted to approve the Scheme at a meeting of the shareholders (the “Court Meeting”) convened for such vote by order of the High Court of Justice in England and Wales (the “Court”), and also voted to approve resolutions necessary to approve, implement and effect the Scheme and the Acquisition at a general meeting of the shareholders convened immediately after conclusion of the Court Meeting. The Acquisition is expected to be completed in the second half of 2027, subject to the satisfaction or, where applicable, waiver of the other conditions specified in the Scheme document, including material antitrust conditions and sanction of the Scheme by the Court.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furnished in this Item 7.01 shall not be deemed “filed” for purposes of Section 18 of the Securities Exchange Act of 1934, as amended (the “Exchange Act”), or otherwise subject to the liabilities of that Section, and shall not be deemed to be incorporated by reference into any filing of the Company under the Exchange Act or the Securities Act of 1933, as amended, except to the extent that the Company specifically incorporates any of the information by reference.</w: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Further Information; No Offer or Solicitation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This report is for information purposes and is not intended to and does not constitute, or form part of, an offer, invitation or the solicitation of an offer to purchase, otherwise acquire, subscribe for, sell or otherwise dispose of any securities, or the solicitation of any vote or approval in any jurisdiction, pursuant to the all-cash offer by the Company for the entire issued and to be issued ordinary share capital of Tate &amp; Lyle, or otherwise, nor shall there be any sale, issuance or transfer of securities of Tate &amp; Lyle in any jurisdiction in contravention of applicable law. The Acquisition will be made solely by means of a Scheme (or, if the Acquisition is implemented by way of a takeover offer, as that term is defined in the UK Companies Act (a “Takeover Offer”), the offer document), which will contain the full terms and conditions of the Acquisition. If the Company exercises its right to implement the Acquisition by way of a Takeover Offer, such offer will be made in compliance with applicable U.S. laws and regulations.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8093"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109"/>
        <w:gridCol w:w="109"/>
        <w:gridCol w:w="109"/>
        <w:gridCol w:w="109"/>
        <w:gridCol w:w="109"/>
        <w:gridCol w:w="109"/>
        <w:gridCol w:w="141"/>
        <w:gridCol w:w="141"/>
        <w:gridCol w:w="141"/>
        <w:gridCol w:w="141"/>
        <w:gridCol w:w="141"/>
        <w:gridCol w:w="141"/>
        <w:gridCol w:w="465"/>
        <w:gridCol w:w="465"/>
        <w:gridCol w:w="465"/>
        <w:gridCol w:w="465"/>
        <w:gridCol w:w="465"/>
        <w:gridCol w:w="465"/>
        <w:gridCol w:w="465"/>
        <w:gridCol w:w="465"/>
        <w:gridCol w:w="465"/>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28,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3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Ingredion Incorporated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9"/>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Tanya M. Jaeger de Foras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Tanya M. Jaeger de Foras</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Chief Legal Officer,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Secretary and Chief Compliance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840</Words>
  <Characters>4404</Characters>
  <CharactersWithSpaces>5222</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