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Ingredion Incorporated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0"/>
        <w:gridCol w:w="8165"/>
      </w:tblGrid>
      <w:tr>
        <w:trPr/>
        <w:tc>
          <w:tcPr>
            <w:tcW w:w="2040" w:type="dxa"/>
            <w:tcBorders/>
            <w:vAlign w:val="center"/>
          </w:tcPr>
          <w:p>
            <w:pPr>
              <w:pStyle w:val="TableContents"/>
              <w:bidi w:val="0"/>
              <w:spacing w:before="0" w:after="283"/>
              <w:jc w:val="left"/>
              <w:rPr/>
            </w:pPr>
            <w:r>
              <w:rPr/>
              <w:t>1</w:t>
            </w:r>
          </w:p>
        </w:tc>
        <w:tc>
          <w:tcPr>
            <w:tcW w:w="816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First Trust Portfolios L.P.</w:t>
            </w:r>
          </w:p>
        </w:tc>
      </w:tr>
      <w:tr>
        <w:trPr/>
        <w:tc>
          <w:tcPr>
            <w:tcW w:w="2040" w:type="dxa"/>
            <w:tcBorders/>
            <w:vAlign w:val="center"/>
          </w:tcPr>
          <w:p>
            <w:pPr>
              <w:pStyle w:val="TableContents"/>
              <w:bidi w:val="0"/>
              <w:spacing w:before="0" w:after="283"/>
              <w:jc w:val="left"/>
              <w:rPr/>
            </w:pPr>
            <w:r>
              <w:rPr/>
              <w:t>2</w:t>
            </w:r>
          </w:p>
        </w:tc>
        <w:tc>
          <w:tcPr>
            <w:tcW w:w="816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0" w:type="dxa"/>
            <w:tcBorders/>
            <w:vAlign w:val="center"/>
          </w:tcPr>
          <w:p>
            <w:pPr>
              <w:pStyle w:val="TableContents"/>
              <w:bidi w:val="0"/>
              <w:spacing w:before="0" w:after="283"/>
              <w:jc w:val="left"/>
              <w:rPr/>
            </w:pPr>
            <w:r>
              <w:rPr/>
              <w:t>3</w:t>
            </w:r>
          </w:p>
        </w:tc>
        <w:tc>
          <w:tcPr>
            <w:tcW w:w="8165" w:type="dxa"/>
            <w:tcBorders/>
            <w:vAlign w:val="center"/>
          </w:tcPr>
          <w:p>
            <w:pPr>
              <w:pStyle w:val="TableContents"/>
              <w:bidi w:val="0"/>
              <w:spacing w:before="0" w:after="283"/>
              <w:jc w:val="left"/>
              <w:rPr/>
            </w:pPr>
            <w:r>
              <w:rPr/>
              <w:t>Sec Use Only</w:t>
            </w:r>
          </w:p>
        </w:tc>
      </w:tr>
      <w:tr>
        <w:trPr/>
        <w:tc>
          <w:tcPr>
            <w:tcW w:w="2040" w:type="dxa"/>
            <w:tcBorders/>
            <w:vAlign w:val="center"/>
          </w:tcPr>
          <w:p>
            <w:pPr>
              <w:pStyle w:val="TableContents"/>
              <w:bidi w:val="0"/>
              <w:spacing w:before="0" w:after="283"/>
              <w:jc w:val="left"/>
              <w:rPr/>
            </w:pPr>
            <w:r>
              <w:rPr/>
              <w:t>4</w:t>
            </w:r>
          </w:p>
        </w:tc>
        <w:tc>
          <w:tcPr>
            <w:tcW w:w="816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04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765,039.00</w:t>
                  </w:r>
                </w:p>
              </w:tc>
            </w:tr>
          </w:tbl>
          <w:p>
            <w:pPr>
              <w:pStyle w:val="TableContents"/>
              <w:bidi w:val="0"/>
              <w:spacing w:before="0" w:after="283"/>
              <w:jc w:val="left"/>
              <w:rPr/>
            </w:pPr>
            <w:r>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pPr>
            <w:r>
              <w:rPr/>
              <w:t>9</w:t>
            </w:r>
          </w:p>
        </w:tc>
        <w:tc>
          <w:tcPr>
            <w:tcW w:w="816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2,198,157.00</w:t>
            </w:r>
          </w:p>
        </w:tc>
      </w:tr>
      <w:tr>
        <w:trPr/>
        <w:tc>
          <w:tcPr>
            <w:tcW w:w="2040" w:type="dxa"/>
            <w:tcBorders/>
            <w:vAlign w:val="center"/>
          </w:tcPr>
          <w:p>
            <w:pPr>
              <w:pStyle w:val="TableContents"/>
              <w:bidi w:val="0"/>
              <w:spacing w:before="0" w:after="283"/>
              <w:jc w:val="left"/>
              <w:rPr/>
            </w:pPr>
            <w:r>
              <w:rPr/>
              <w:t>10</w:t>
            </w:r>
          </w:p>
        </w:tc>
        <w:tc>
          <w:tcPr>
            <w:tcW w:w="816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0" w:type="dxa"/>
            <w:tcBorders/>
            <w:vAlign w:val="center"/>
          </w:tcPr>
          <w:p>
            <w:pPr>
              <w:pStyle w:val="TableContents"/>
              <w:bidi w:val="0"/>
              <w:spacing w:before="0" w:after="283"/>
              <w:jc w:val="left"/>
              <w:rPr/>
            </w:pPr>
            <w:r>
              <w:rPr/>
              <w:t>11</w:t>
            </w:r>
          </w:p>
        </w:tc>
        <w:tc>
          <w:tcPr>
            <w:tcW w:w="816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3.49 % </w:t>
            </w:r>
          </w:p>
        </w:tc>
      </w:tr>
      <w:tr>
        <w:trPr/>
        <w:tc>
          <w:tcPr>
            <w:tcW w:w="2040" w:type="dxa"/>
            <w:tcBorders/>
            <w:vAlign w:val="center"/>
          </w:tcPr>
          <w:p>
            <w:pPr>
              <w:pStyle w:val="TableContents"/>
              <w:bidi w:val="0"/>
              <w:spacing w:before="0" w:after="283"/>
              <w:jc w:val="left"/>
              <w:rPr/>
            </w:pPr>
            <w:r>
              <w:rPr/>
              <w:t>12</w:t>
            </w:r>
          </w:p>
        </w:tc>
        <w:tc>
          <w:tcPr>
            <w:tcW w:w="816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First Trust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1,446,843.00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2,198,157.00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2,198,157.00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3.49 %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Charger Corporation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1,446,843.00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2,198,157.00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2,198,157.00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3.49 %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6"/>
        <w:gridCol w:w="8884"/>
        <w:gridCol w:w="155"/>
      </w:tblGrid>
      <w:tr>
        <w:trPr/>
        <w:tc>
          <w:tcPr>
            <w:tcW w:w="1166"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Ingredion Incorporated</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Attn: Legal Department, c/o Ingredion Incorporated, 5 Westbrook Corporate Center, Westchester, IL 60154, USA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2.</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person filing: </w:t>
            </w:r>
          </w:p>
          <w:p>
            <w:pPr>
              <w:pStyle w:val="TableContents"/>
              <w:bidi w:val="0"/>
              <w:spacing w:before="0" w:after="0"/>
              <w:jc w:val="left"/>
              <w:rPr/>
            </w:pPr>
            <w:r>
              <w:rPr/>
              <w:t>First Trust Portfolios L.P. First Trust Advisors L.P. The Charger Corporation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120 East Liberty Drive, Suite 400, Wheaton, Illinois 60187</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Citizenship: </w:t>
            </w:r>
          </w:p>
          <w:p>
            <w:pPr>
              <w:pStyle w:val="TableContents"/>
              <w:bidi w:val="0"/>
              <w:spacing w:before="0" w:after="0"/>
              <w:jc w:val="left"/>
              <w:rPr/>
            </w:pPr>
            <w:r>
              <w:rPr/>
              <w:t>Illinois, USA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3.</w:t>
            </w:r>
          </w:p>
        </w:tc>
        <w:tc>
          <w:tcPr>
            <w:tcW w:w="888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(f)</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(g)</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(h)</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(j)</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(k)</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9039" w:type="dxa"/>
            <w:gridSpan w:val="2"/>
            <w:tcBorders/>
            <w:vAlign w:val="center"/>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4.</w:t>
            </w:r>
          </w:p>
        </w:tc>
        <w:tc>
          <w:tcPr>
            <w:tcW w:w="888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2,198,157</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3.49  %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1,446,843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2,198,157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6.</w:t>
            </w:r>
          </w:p>
        </w:tc>
        <w:tc>
          <w:tcPr>
            <w:tcW w:w="888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This Schedule 13G filing is jointly filed by The Charger Corporation, First Trust Portfolios L.P. and First Trust Advisors L.P. pursuant to Rule 13d-1(k)(1). The Charger Corporation is the General Partner of both First Trust Portfolios L.P. and First Trust Advisors L.P. First Trust Portfolios L.P. acts as sponsor of certain unit investment trusts which hold shares of the issuer. The total number of shares of the issuer held by these unit investment trusts is set forth in Row (8) above with respect to First Trust Portfolios L.P. No individual unit investment trust sponsored by First Trust Portfolios L.P. holds more than 3% of any registered investment company issuer's shares. First Trust Advisors L.P., an affiliate of First Trust Portfolios L.P., acts as portfolio supervisor of the unit investment trusts sponsored by First Trust Portfolios L.P., certain of which hold shares of the issuer. Neither First Trust Portfolios L.P., First Trust Advisors L.P. nor The Charger Corporation have the power to vote the shares of the issuer held by these unit investment trusts sponsored by First Trust Portfolios L.P. These shares are voted by the trustee of such unit investment trusts so as to insure that the shares are ordinarily voted as closely as possible in the same manner and in the same general proportion as are the shares held by owners other than such unit investment trusts. Subject to the requirements of Rule 12d1-4 under the Investment Company Act of 1940 and as further explained in the Standard Terms and Conditions of Trust and related Trust Agreements of the unit investment trusts, First Trust Portfolios L.P., on behalf of the unit investment trusts, may enter into an agreement with a deposited fund which may permit the shares of such fund to be voted in the best interest of unit holders at the discretion of First Trust Portfolios L.P. The difference, if any, between the aggregate amount of shares beneficially owned by each reporting person, as set forth in Row (9) above, and the number of shares of the issuer held by the unit investment trusts sponsored by First Trust Portfolios L.P. represents shares of the issuer which are either held in other registered investment companies, pooled investment vehicles and/or separately managed accounts for which First Trust Advisors L.P. serves as investment advisor and/or investment sub-advisor. Each of First Trust Portfolios L.P., First Trust Advisors L.P. and The Charger Corporation disclaims beneficial ownership of the shares of the issuer identified in this filing.</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7.</w:t>
            </w:r>
          </w:p>
        </w:tc>
        <w:tc>
          <w:tcPr>
            <w:tcW w:w="888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6.</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8.</w:t>
            </w:r>
          </w:p>
        </w:tc>
        <w:tc>
          <w:tcPr>
            <w:tcW w:w="888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9.</w:t>
            </w:r>
          </w:p>
        </w:tc>
        <w:tc>
          <w:tcPr>
            <w:tcW w:w="888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First Trust Portfolios L.P.</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James M. Dykas</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James M. Dykas, Chief Financial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First Trust Advisors L.P.</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James M. Dykas</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James M. Dykas, Chief Financial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5424" w:type="dxa"/>
        <w:jc w:val="left"/>
        <w:tblInd w:w="0" w:type="dxa"/>
        <w:tblLayout w:type="fixed"/>
        <w:tblCellMar>
          <w:top w:w="28" w:type="dxa"/>
          <w:left w:w="28" w:type="dxa"/>
          <w:bottom w:w="28" w:type="dxa"/>
          <w:right w:w="28" w:type="dxa"/>
        </w:tblCellMar>
      </w:tblPr>
      <w:tblGrid>
        <w:gridCol w:w="2712"/>
        <w:gridCol w:w="2712"/>
      </w:tblGrid>
      <w:tr>
        <w:trPr/>
        <w:tc>
          <w:tcPr>
            <w:tcW w:w="2712" w:type="dxa"/>
            <w:tcBorders/>
            <w:vAlign w:val="center"/>
          </w:tcPr>
          <w:p>
            <w:pPr>
              <w:pStyle w:val="TableContents"/>
              <w:bidi w:val="0"/>
              <w:spacing w:before="0" w:after="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0"/>
                    <w:jc w:val="left"/>
                    <w:rPr/>
                  </w:pPr>
                  <w:r>
                    <w:rPr/>
                    <w:t>The Charger Corporation</w:t>
                  </w:r>
                </w:p>
              </w:tc>
            </w:tr>
          </w:tbl>
          <w:p>
            <w:pPr>
              <w:pStyle w:val="TableContents"/>
              <w:bidi w:val="0"/>
              <w:spacing w:before="0" w:after="283"/>
              <w:jc w:val="left"/>
              <w:rPr/>
            </w:pPr>
            <w:r>
              <w:rPr/>
            </w:r>
          </w:p>
        </w:tc>
        <w:tc>
          <w:tcPr>
            <w:tcW w:w="27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5"/>
        <w:gridCol w:w="4360"/>
      </w:tblGrid>
      <w:tr>
        <w:trPr/>
        <w:tc>
          <w:tcPr>
            <w:tcW w:w="58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James M. Dykas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James M. Dykas, Chief Financial Officer and Treasurer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60" w:type="dxa"/>
            <w:tcBorders/>
            <w:vAlign w:val="center"/>
          </w:tcPr>
          <w:p>
            <w:pPr>
              <w:pStyle w:val="TableContents"/>
              <w:bidi w:val="0"/>
              <w:spacing w:before="0" w:after="283"/>
              <w:jc w:val="left"/>
              <w:rPr>
                <w:sz w:val="4"/>
                <w:szCs w:val="4"/>
              </w:rPr>
            </w:pPr>
            <w:r>
              <w:rPr>
                <w:sz w:val="4"/>
                <w:szCs w:val="4"/>
              </w:rPr>
            </w:r>
          </w:p>
        </w:tc>
      </w:tr>
    </w:tbl>
    <w:tbl>
      <w:tblPr>
        <w:tblW w:w="4921" w:type="dxa"/>
        <w:jc w:val="left"/>
        <w:tblInd w:w="0" w:type="dxa"/>
        <w:tblLayout w:type="fixed"/>
        <w:tblCellMar>
          <w:top w:w="28" w:type="dxa"/>
          <w:left w:w="28" w:type="dxa"/>
          <w:bottom w:w="28" w:type="dxa"/>
          <w:right w:w="28" w:type="dxa"/>
        </w:tblCellMar>
      </w:tblPr>
      <w:tblGrid>
        <w:gridCol w:w="4921"/>
      </w:tblGrid>
      <w:tr>
        <w:trPr/>
        <w:tc>
          <w:tcPr>
            <w:tcW w:w="4921" w:type="dxa"/>
            <w:tcBorders/>
            <w:vAlign w:val="center"/>
          </w:tcPr>
          <w:p>
            <w:pPr>
              <w:pStyle w:val="TableContents"/>
              <w:bidi w:val="0"/>
              <w:spacing w:before="0" w:after="283"/>
              <w:jc w:val="center"/>
              <w:rPr>
                <w:b/>
              </w:rPr>
            </w:pPr>
            <w:r>
              <w:rPr>
                <w:b/>
              </w:rPr>
              <w:t xml:space="preserve">Exhibit Information </w:t>
            </w:r>
          </w:p>
        </w:tc>
      </w:tr>
      <w:tr>
        <w:trPr/>
        <w:tc>
          <w:tcPr>
            <w:tcW w:w="4921" w:type="dxa"/>
            <w:tcBorders/>
            <w:vAlign w:val="center"/>
          </w:tcPr>
          <w:p>
            <w:pPr>
              <w:pStyle w:val="TableContents"/>
              <w:bidi w:val="0"/>
              <w:spacing w:before="0" w:after="283"/>
              <w:jc w:val="left"/>
              <w:rPr/>
            </w:pPr>
            <w:r>
              <w:rPr/>
              <w:t>Please see Exhibit 99.1 for Joint Filing Agreement</w:t>
            </w:r>
          </w:p>
        </w:tc>
      </w:tr>
    </w:tbl>
    <w:p>
      <w:pPr>
        <w:pStyle w:val="TextBody"/>
        <w:bidi w:val="0"/>
        <w:jc w:val="right"/>
        <w:rPr/>
      </w:pPr>
      <w:bookmarkStart w:id="24" w:name="ex99_1.htm"/>
      <w:bookmarkStart w:id="25" w:name="ksex99_1"/>
      <w:bookmarkEnd w:id="24"/>
      <w:bookmarkEnd w:id="25"/>
      <w:r>
        <w:rPr/>
        <w:t>Exhibit 99.1</w:t>
      </w:r>
      <w:r>
        <w:br w:type="page"/>
      </w:r>
    </w:p>
    <w:p>
      <w:pPr>
        <w:pStyle w:val="TextBody"/>
        <w:bidi w:val="0"/>
        <w:jc w:val="center"/>
        <w:rPr>
          <w:b/>
          <w:sz w:val="24"/>
        </w:rPr>
      </w:pPr>
      <w:r>
        <w:rPr>
          <w:b/>
          <w:sz w:val="24"/>
        </w:rPr>
        <w:t>Exhibit 99.1 - Joint Filing Agreement</w:t>
      </w:r>
    </w:p>
    <w:p>
      <w:pPr>
        <w:pStyle w:val="TextBody"/>
        <w:bidi w:val="0"/>
        <w:jc w:val="both"/>
        <w:rPr>
          <w:sz w:val="24"/>
        </w:rPr>
      </w:pPr>
      <w:r>
        <w:rPr>
          <w:sz w:val="24"/>
        </w:rPr>
        <w:t>The undersigned hereby agree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pStyle w:val="TextBody"/>
        <w:bidi w:val="0"/>
        <w:jc w:val="both"/>
        <w:rPr>
          <w:sz w:val="24"/>
        </w:rPr>
      </w:pPr>
      <w:r>
        <w:rPr>
          <w:sz w:val="24"/>
        </w:rPr>
        <w:t>In accordance with Rule 13d-1(k)(1) promulgated under the Securities and Exchange Act of 1934, as amended, the undersigned hereby agree to the joint filing with each other on behalf of each of them of such a statement on Schedule 13G and any amendments thereto with respect to the equity securities (as defined in Rule 13d-1(i)) of the issuer, beneficially owned by each of them. This Joint Filing Agreement shall be included as an exhibit to such Schedule 13G and any amendments thereto.</w:t>
      </w:r>
    </w:p>
    <w:p>
      <w:pPr>
        <w:pStyle w:val="TextBody"/>
        <w:bidi w:val="0"/>
        <w:jc w:val="left"/>
        <w:rPr>
          <w:sz w:val="24"/>
        </w:rPr>
      </w:pPr>
      <w:r>
        <w:rPr>
          <w:sz w:val="24"/>
        </w:rPr>
        <w:t>Date: July 30, 2026</w:t>
      </w:r>
    </w:p>
    <w:tbl>
      <w:tblPr>
        <w:tblW w:w="10205" w:type="dxa"/>
        <w:jc w:val="left"/>
        <w:tblInd w:w="0" w:type="dxa"/>
        <w:tblLayout w:type="fixed"/>
        <w:tblCellMar>
          <w:top w:w="0" w:type="dxa"/>
          <w:left w:w="0" w:type="dxa"/>
          <w:bottom w:w="0" w:type="dxa"/>
          <w:right w:w="0" w:type="dxa"/>
        </w:tblCellMar>
      </w:tblPr>
      <w:tblGrid>
        <w:gridCol w:w="75"/>
        <w:gridCol w:w="626"/>
        <w:gridCol w:w="60"/>
        <w:gridCol w:w="9368"/>
        <w:gridCol w:w="76"/>
      </w:tblGrid>
      <w:tr>
        <w:trPr/>
        <w:tc>
          <w:tcPr>
            <w:tcW w:w="7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4" w:type="dxa"/>
            <w:gridSpan w:val="3"/>
            <w:tcBorders/>
            <w:vAlign w:val="center"/>
          </w:tcPr>
          <w:p>
            <w:pPr>
              <w:pStyle w:val="TableContents"/>
              <w:bidi w:val="0"/>
              <w:spacing w:before="0" w:after="283"/>
              <w:jc w:val="left"/>
              <w:rPr/>
            </w:pPr>
            <w:r>
              <w:rPr/>
              <w:t>First Trust Portfolios L.P.,</w:t>
              <w:br/>
              <w:t>First Trust Advisors L.P. and</w:t>
              <w:br/>
              <w:t>The Charger Corporation</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9368" w:type="dxa"/>
            <w:tcBorders>
              <w:bottom w:val="single" w:sz="8" w:space="0" w:color="000000"/>
            </w:tcBorders>
            <w:tcMar>
              <w:bottom w:w="28" w:type="dxa"/>
            </w:tcMar>
            <w:vAlign w:val="center"/>
          </w:tcPr>
          <w:p>
            <w:pPr>
              <w:pStyle w:val="TableContents"/>
              <w:bidi w:val="0"/>
              <w:spacing w:before="0" w:after="283"/>
              <w:jc w:val="left"/>
              <w:rPr/>
            </w:pPr>
            <w:r>
              <w:rPr/>
              <w:t>/s/ James M. Dykas</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9368" w:type="dxa"/>
            <w:tcBorders/>
            <w:vAlign w:val="center"/>
          </w:tcPr>
          <w:p>
            <w:pPr>
              <w:pStyle w:val="TableContents"/>
              <w:bidi w:val="0"/>
              <w:spacing w:before="0" w:after="283"/>
              <w:jc w:val="left"/>
              <w:rPr/>
            </w:pPr>
            <w:r>
              <w:rPr/>
              <w:t>James M. Dykas</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9368" w:type="dxa"/>
            <w:tcBorders/>
            <w:vAlign w:val="center"/>
          </w:tcPr>
          <w:p>
            <w:pPr>
              <w:pStyle w:val="TableContents"/>
              <w:bidi w:val="0"/>
              <w:spacing w:before="0" w:after="283"/>
              <w:jc w:val="left"/>
              <w:rPr/>
            </w:pPr>
            <w:r>
              <w:rPr/>
              <w:t>Chief Financial Officer of First Trust Portfolios L.P. and First Trust Advisors L.P., and Chief Financial Officer and Treasurer of The Charger Corporation</w:t>
            </w:r>
          </w:p>
        </w:tc>
        <w:tc>
          <w:tcPr>
            <w:tcW w:w="76"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1806</Words>
  <Characters>9350</Characters>
  <CharactersWithSpaces>11117</CharactersWithSpaces>
  <Paragraphs>291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