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97"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42"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77470</wp:posOffset>
            </wp:positionV>
            <wp:extent cx="1645920" cy="12001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45920" cy="12001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INGREDION INCORPORATED</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75" w:lineRule="exact"/>
        <w:rPr>
          <w:sz w:val="24"/>
          <w:szCs w:val="24"/>
          <w:color w:val="auto"/>
        </w:rPr>
      </w:pPr>
    </w:p>
    <w:tbl>
      <w:tblPr>
        <w:tblLayout w:type="fixed"/>
        <w:tblInd w:w="1140" w:type="dxa"/>
        <w:tblCellMar>
          <w:top w:w="0" w:type="dxa"/>
          <w:left w:w="0" w:type="dxa"/>
          <w:bottom w:w="0" w:type="dxa"/>
          <w:right w:w="0" w:type="dxa"/>
        </w:tblCellMar>
      </w:tblPr>
      <w:tr>
        <w:trPr>
          <w:trHeight w:val="229"/>
        </w:trPr>
        <w:tc>
          <w:tcPr>
            <w:tcW w:w="3980" w:type="dxa"/>
            <w:vAlign w:val="bottom"/>
          </w:tcPr>
          <w:p>
            <w:pPr>
              <w:jc w:val="center"/>
              <w:ind w:right="23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80" w:type="dxa"/>
            <w:vAlign w:val="bottom"/>
          </w:tcPr>
          <w:p>
            <w:pPr>
              <w:jc w:val="center"/>
              <w:ind w:right="1102"/>
              <w:spacing w:after="0"/>
              <w:rPr>
                <w:sz w:val="20"/>
                <w:szCs w:val="20"/>
                <w:color w:val="auto"/>
              </w:rPr>
            </w:pPr>
            <w:r>
              <w:rPr>
                <w:rFonts w:ascii="Times New Roman" w:cs="Times New Roman" w:eastAsia="Times New Roman" w:hAnsi="Times New Roman"/>
                <w:sz w:val="18"/>
                <w:szCs w:val="18"/>
                <w:b w:val="1"/>
                <w:bCs w:val="1"/>
                <w:color w:val="auto"/>
                <w:w w:val="99"/>
              </w:rPr>
              <w:t>1-13397</w:t>
            </w:r>
          </w:p>
        </w:tc>
        <w:tc>
          <w:tcPr>
            <w:tcW w:w="2480" w:type="dxa"/>
            <w:vAlign w:val="bottom"/>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22-3514823</w:t>
            </w:r>
          </w:p>
        </w:tc>
      </w:tr>
      <w:tr>
        <w:trPr>
          <w:trHeight w:val="149"/>
        </w:trPr>
        <w:tc>
          <w:tcPr>
            <w:tcW w:w="3980" w:type="dxa"/>
            <w:vAlign w:val="bottom"/>
          </w:tcPr>
          <w:p>
            <w:pPr>
              <w:jc w:val="center"/>
              <w:ind w:right="2381"/>
              <w:spacing w:after="0" w:line="149" w:lineRule="exact"/>
              <w:rPr>
                <w:sz w:val="20"/>
                <w:szCs w:val="20"/>
                <w:color w:val="auto"/>
              </w:rPr>
            </w:pPr>
            <w:r>
              <w:rPr>
                <w:rFonts w:ascii="Times New Roman" w:cs="Times New Roman" w:eastAsia="Times New Roman" w:hAnsi="Times New Roman"/>
                <w:sz w:val="14"/>
                <w:szCs w:val="14"/>
                <w:color w:val="auto"/>
              </w:rPr>
              <w:t>(State or other jurisdiction</w:t>
            </w:r>
          </w:p>
        </w:tc>
        <w:tc>
          <w:tcPr>
            <w:tcW w:w="2380" w:type="dxa"/>
            <w:vAlign w:val="bottom"/>
          </w:tcPr>
          <w:p>
            <w:pPr>
              <w:jc w:val="center"/>
              <w:ind w:right="1102"/>
              <w:spacing w:after="0" w:line="149" w:lineRule="exact"/>
              <w:rPr>
                <w:sz w:val="20"/>
                <w:szCs w:val="20"/>
                <w:color w:val="auto"/>
              </w:rPr>
            </w:pPr>
            <w:r>
              <w:rPr>
                <w:rFonts w:ascii="Times New Roman" w:cs="Times New Roman" w:eastAsia="Times New Roman" w:hAnsi="Times New Roman"/>
                <w:sz w:val="14"/>
                <w:szCs w:val="14"/>
                <w:color w:val="auto"/>
              </w:rPr>
              <w:t>(Commission</w:t>
            </w:r>
          </w:p>
        </w:tc>
        <w:tc>
          <w:tcPr>
            <w:tcW w:w="2480" w:type="dxa"/>
            <w:vAlign w:val="bottom"/>
          </w:tcPr>
          <w:p>
            <w:pPr>
              <w:jc w:val="center"/>
              <w:ind w:left="1341"/>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980" w:type="dxa"/>
            <w:vAlign w:val="bottom"/>
          </w:tcPr>
          <w:p>
            <w:pPr>
              <w:jc w:val="center"/>
              <w:ind w:right="2401"/>
              <w:spacing w:after="0"/>
              <w:rPr>
                <w:sz w:val="20"/>
                <w:szCs w:val="20"/>
                <w:color w:val="auto"/>
              </w:rPr>
            </w:pPr>
            <w:r>
              <w:rPr>
                <w:rFonts w:ascii="Times New Roman" w:cs="Times New Roman" w:eastAsia="Times New Roman" w:hAnsi="Times New Roman"/>
                <w:sz w:val="14"/>
                <w:szCs w:val="14"/>
                <w:color w:val="auto"/>
              </w:rPr>
              <w:t>of incorporation)</w:t>
            </w:r>
          </w:p>
        </w:tc>
        <w:tc>
          <w:tcPr>
            <w:tcW w:w="2380" w:type="dxa"/>
            <w:vAlign w:val="bottom"/>
          </w:tcPr>
          <w:p>
            <w:pPr>
              <w:jc w:val="center"/>
              <w:ind w:right="1122"/>
              <w:spacing w:after="0"/>
              <w:rPr>
                <w:sz w:val="20"/>
                <w:szCs w:val="20"/>
                <w:color w:val="auto"/>
              </w:rPr>
            </w:pPr>
            <w:r>
              <w:rPr>
                <w:rFonts w:ascii="Times New Roman" w:cs="Times New Roman" w:eastAsia="Times New Roman" w:hAnsi="Times New Roman"/>
                <w:sz w:val="14"/>
                <w:szCs w:val="14"/>
                <w:color w:val="auto"/>
              </w:rPr>
              <w:t>File Number)</w:t>
            </w:r>
          </w:p>
        </w:tc>
        <w:tc>
          <w:tcPr>
            <w:tcW w:w="2480" w:type="dxa"/>
            <w:vAlign w:val="bottom"/>
          </w:tcPr>
          <w:p>
            <w:pPr>
              <w:jc w:val="center"/>
              <w:ind w:left="1321"/>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473"/>
        </w:trPr>
        <w:tc>
          <w:tcPr>
            <w:tcW w:w="6360" w:type="dxa"/>
            <w:vAlign w:val="bottom"/>
            <w:gridSpan w:val="2"/>
          </w:tcPr>
          <w:p>
            <w:pPr>
              <w:jc w:val="center"/>
              <w:ind w:right="1042"/>
              <w:spacing w:after="0"/>
              <w:rPr>
                <w:sz w:val="20"/>
                <w:szCs w:val="20"/>
                <w:color w:val="auto"/>
              </w:rPr>
            </w:pPr>
            <w:r>
              <w:rPr>
                <w:rFonts w:ascii="Times New Roman" w:cs="Times New Roman" w:eastAsia="Times New Roman" w:hAnsi="Times New Roman"/>
                <w:sz w:val="18"/>
                <w:szCs w:val="18"/>
                <w:b w:val="1"/>
                <w:bCs w:val="1"/>
                <w:color w:val="auto"/>
                <w:w w:val="98"/>
              </w:rPr>
              <w:t>5 Westbrook Corporate Center, Westchester, Illinois</w:t>
            </w:r>
          </w:p>
        </w:tc>
        <w:tc>
          <w:tcPr>
            <w:tcW w:w="2480" w:type="dxa"/>
            <w:vAlign w:val="bottom"/>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60154</w:t>
            </w:r>
          </w:p>
        </w:tc>
      </w:tr>
      <w:tr>
        <w:trPr>
          <w:trHeight w:val="188"/>
        </w:trPr>
        <w:tc>
          <w:tcPr>
            <w:tcW w:w="3980" w:type="dxa"/>
            <w:vAlign w:val="bottom"/>
          </w:tcPr>
          <w:p>
            <w:pPr>
              <w:jc w:val="center"/>
              <w:ind w:left="1181"/>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380" w:type="dxa"/>
            <w:vAlign w:val="bottom"/>
          </w:tcPr>
          <w:p>
            <w:pPr>
              <w:spacing w:after="0"/>
              <w:rPr>
                <w:sz w:val="16"/>
                <w:szCs w:val="16"/>
                <w:color w:val="auto"/>
              </w:rPr>
            </w:pPr>
          </w:p>
        </w:tc>
        <w:tc>
          <w:tcPr>
            <w:tcW w:w="2480" w:type="dxa"/>
            <w:vAlign w:val="bottom"/>
          </w:tcPr>
          <w:p>
            <w:pPr>
              <w:jc w:val="center"/>
              <w:ind w:left="1321"/>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2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(708) 551-2600</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32" w:lineRule="exact"/>
        <w:rPr>
          <w:sz w:val="24"/>
          <w:szCs w:val="24"/>
          <w:color w:val="auto"/>
        </w:rPr>
      </w:pPr>
    </w:p>
    <w:p>
      <w:pPr>
        <w:ind w:right="680"/>
        <w:spacing w:after="0" w:line="329"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38"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5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24"/>
        </w:trPr>
        <w:tc>
          <w:tcPr>
            <w:tcW w:w="1800" w:type="dxa"/>
            <w:vAlign w:val="bottom"/>
          </w:tcPr>
          <w:p>
            <w:pPr>
              <w:spacing w:after="0"/>
              <w:rPr>
                <w:sz w:val="24"/>
                <w:szCs w:val="24"/>
                <w:color w:val="auto"/>
              </w:rPr>
            </w:pPr>
          </w:p>
        </w:tc>
        <w:tc>
          <w:tcPr>
            <w:tcW w:w="288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2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0"/>
        </w:trPr>
        <w:tc>
          <w:tcPr>
            <w:tcW w:w="18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46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500" w:type="dxa"/>
            <w:vAlign w:val="bottom"/>
          </w:tcPr>
          <w:p>
            <w:pPr>
              <w:spacing w:after="0"/>
              <w:rPr>
                <w:sz w:val="21"/>
                <w:szCs w:val="21"/>
                <w:color w:val="auto"/>
              </w:rPr>
            </w:pPr>
          </w:p>
        </w:tc>
        <w:tc>
          <w:tcPr>
            <w:tcW w:w="18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INGR</w:t>
            </w:r>
          </w:p>
        </w:tc>
        <w:tc>
          <w:tcPr>
            <w:tcW w:w="360" w:type="dxa"/>
            <w:vAlign w:val="bottom"/>
          </w:tcPr>
          <w:p>
            <w:pPr>
              <w:spacing w:after="0"/>
              <w:rPr>
                <w:sz w:val="21"/>
                <w:szCs w:val="21"/>
                <w:color w:val="auto"/>
              </w:rPr>
            </w:pPr>
          </w:p>
        </w:tc>
        <w:tc>
          <w:tcPr>
            <w:tcW w:w="38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979"/>
        </w:trPr>
        <w:tc>
          <w:tcPr>
            <w:tcW w:w="18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73" w:lineRule="exact"/>
        <w:rPr>
          <w:sz w:val="20"/>
          <w:szCs w:val="20"/>
          <w:color w:val="auto"/>
        </w:rPr>
      </w:pPr>
    </w:p>
    <w:p>
      <w:pPr>
        <w:ind w:left="8960"/>
        <w:spacing w:after="0" w:line="288"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5"/>
          <w:szCs w:val="25"/>
          <w:color w:val="auto"/>
        </w:rPr>
        <w:t>☐</w:t>
      </w:r>
    </w:p>
    <w:p>
      <w:pPr>
        <w:spacing w:after="0" w:line="260" w:lineRule="exact"/>
        <w:rPr>
          <w:sz w:val="20"/>
          <w:szCs w:val="20"/>
          <w:color w:val="auto"/>
        </w:rPr>
      </w:pPr>
    </w:p>
    <w:p>
      <w:pPr>
        <w:ind w:right="160"/>
        <w:spacing w:after="0" w:line="26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5"/>
          <w:szCs w:val="2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1028065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9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June 30, 2026, Ingredion Incorporated (“Ingredion”) completed the previously announced sale of 51% of the issued share capital of Rafhan Maize Products Co. Ltd. (“Rafhan Maize”), a Pakistan-based company engaged in the manufacture and sale of industrial starches, liquid glucose, dextrose, dextrin, gluten meals and related products, to a group of affiliated purchasers led by Nishat Hotels and Properties Limited (collectively, the “Purchaser”), all of which are affiliates of the Nishat Group, a diversified group of companies headquartered in Lahore, Pakistan (the “Transaction”).</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aggregate consideration received by Ingredion in the Transaction was approximately $165 million in cash, received in U.S. dollars. In 2025, Rafhan Maize, which is not in a reportable segment, generated approximately $250 million of net sales.</w:t>
      </w:r>
    </w:p>
    <w:p>
      <w:pPr>
        <w:spacing w:after="0" w:line="162" w:lineRule="exact"/>
        <w:rPr>
          <w:sz w:val="20"/>
          <w:szCs w:val="20"/>
          <w:color w:val="auto"/>
        </w:rPr>
      </w:pPr>
    </w:p>
    <w:p>
      <w:pPr>
        <w:jc w:val="both"/>
        <w:ind w:right="40"/>
        <w:spacing w:after="0" w:line="312" w:lineRule="auto"/>
        <w:rPr>
          <w:sz w:val="20"/>
          <w:szCs w:val="20"/>
          <w:color w:val="auto"/>
        </w:rPr>
      </w:pPr>
      <w:r>
        <w:rPr>
          <w:rFonts w:ascii="Times New Roman" w:cs="Times New Roman" w:eastAsia="Times New Roman" w:hAnsi="Times New Roman"/>
          <w:sz w:val="17"/>
          <w:szCs w:val="17"/>
          <w:color w:val="auto"/>
        </w:rPr>
        <w:t>As part of the Transaction, the Purchaser acquired approximately 78% of the outstanding shares of Rafhan Maize, inclusive of Ingredion’s approximately 51% ownership interest. Following completion of the Transaction, Ingredion retains an approximately 20% minority ownership interest in Rafhan Maize.</w:t>
      </w:r>
    </w:p>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the Transaction, Ingredion and the Purchaser entered into a shareholders agreement governing Ingredion’s continuing minority investment in Rafhan Maize that provides Ingredion with, among other rights, a put option exercisable beginning in the fifth year following closing. Additionally, in connection with the Transaction, Ingredion and Rafhan Maize entered into certain ancillary commercial agreements, including a manufacturing and supply agreement pursuant to which Rafhan Maize will continue to manufacture for and supply certain products to Ingredion affiliates and a distribution agreement pursuant to which Ingredion will supply certain specialty products to Rafhan Maize for distribution in Pakistan.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1161415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3" w:name="page4"/>
    <w:bookmarkEnd w:id="3"/>
    <w:p>
      <w:pPr>
        <w:spacing w:after="0" w:line="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2"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June 30, 2026</w:t>
      </w:r>
      <w:r>
        <w:rPr>
          <w:sz w:val="20"/>
          <w:szCs w:val="20"/>
          <w:color w:val="auto"/>
        </w:rPr>
        <w:tab/>
      </w:r>
      <w:r>
        <w:rPr>
          <w:rFonts w:ascii="Times New Roman" w:cs="Times New Roman" w:eastAsia="Times New Roman" w:hAnsi="Times New Roman"/>
          <w:sz w:val="17"/>
          <w:szCs w:val="17"/>
          <w:b w:val="1"/>
          <w:bCs w:val="1"/>
          <w:color w:val="auto"/>
        </w:rPr>
        <w:t>Ingredion Incorporated</w:t>
      </w:r>
    </w:p>
    <w:p>
      <w:pPr>
        <w:spacing w:after="0" w:line="243" w:lineRule="exact"/>
        <w:rPr>
          <w:sz w:val="20"/>
          <w:szCs w:val="20"/>
          <w:color w:val="auto"/>
        </w:rPr>
      </w:pPr>
    </w:p>
    <w:p>
      <w:pPr>
        <w:ind w:left="564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Tanya M. Jaeger de Foras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17145</wp:posOffset>
            </wp:positionV>
            <wp:extent cx="31292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2928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Tanya M. Jaeger de Foras</w:t>
      </w:r>
    </w:p>
    <w:p>
      <w:pPr>
        <w:ind w:left="6160"/>
        <w:spacing w:after="0" w:line="221" w:lineRule="auto"/>
        <w:rPr>
          <w:sz w:val="20"/>
          <w:szCs w:val="20"/>
          <w:color w:val="auto"/>
        </w:rPr>
      </w:pPr>
      <w:r>
        <w:rPr>
          <w:rFonts w:ascii="Times New Roman" w:cs="Times New Roman" w:eastAsia="Times New Roman" w:hAnsi="Times New Roman"/>
          <w:sz w:val="18"/>
          <w:szCs w:val="18"/>
          <w:color w:val="auto"/>
        </w:rPr>
        <w:t>Senior Vice President, Chief Legal Officer,</w:t>
      </w:r>
    </w:p>
    <w:p>
      <w:pPr>
        <w:ind w:left="6160"/>
        <w:spacing w:after="0"/>
        <w:rPr>
          <w:sz w:val="20"/>
          <w:szCs w:val="20"/>
          <w:color w:val="auto"/>
        </w:rPr>
      </w:pPr>
      <w:r>
        <w:rPr>
          <w:rFonts w:ascii="Times New Roman" w:cs="Times New Roman" w:eastAsia="Times New Roman" w:hAnsi="Times New Roman"/>
          <w:sz w:val="18"/>
          <w:szCs w:val="18"/>
          <w:color w:val="auto"/>
        </w:rPr>
        <w:t>Corporate Secretary and Chief Compliance Officer</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2026-06-30T05:46:24Z</dcterms:created>
  <dcterms:modified xsi:type="dcterms:W3CDTF">2026-06-30T05:46:24Z</dcterms:modified>
</cp:coreProperties>
</file>